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pPr>
      <w:r w:rsidDel="00000000" w:rsidR="00000000" w:rsidRPr="00000000">
        <w:rPr>
          <w:rtl w:val="0"/>
        </w:rPr>
      </w:r>
    </w:p>
    <w:p w:rsidR="00000000" w:rsidDel="00000000" w:rsidP="00000000" w:rsidRDefault="00000000" w:rsidRPr="00000000" w14:paraId="00000002">
      <w:pPr>
        <w:pStyle w:val="Title"/>
        <w:jc w:val="left"/>
        <w:rPr/>
      </w:pPr>
      <w:r w:rsidDel="00000000" w:rsidR="00000000" w:rsidRPr="00000000">
        <w:rPr>
          <w:rtl w:val="0"/>
        </w:rPr>
        <w:t xml:space="preserve">ANNEX E - PRIVACY NOTICE</w:t>
      </w:r>
    </w:p>
    <w:p w:rsidR="00000000" w:rsidDel="00000000" w:rsidP="00000000" w:rsidRDefault="00000000" w:rsidRPr="00000000" w14:paraId="00000003">
      <w:pPr>
        <w:spacing w:after="80" w:lineRule="auto"/>
        <w:rPr/>
      </w:pPr>
      <w:r w:rsidDel="00000000" w:rsidR="00000000" w:rsidRPr="00000000">
        <w:rPr>
          <w:b w:val="1"/>
          <w:bCs w:val="1"/>
          <w:color w:val="0067a5"/>
          <w:sz w:val="22"/>
          <w:szCs w:val="22"/>
          <w:rtl w:val="0"/>
        </w:rPr>
        <w:t xml:space="preserve">Specialist services for the cross-border regenerative tourism strategy</w:t>
      </w:r>
      <w:r w:rsidDel="00000000" w:rsidR="00000000" w:rsidRPr="00000000">
        <w:rPr>
          <w:rtl w:val="0"/>
        </w:rPr>
      </w:r>
    </w:p>
    <w:p w:rsidR="00000000" w:rsidDel="00000000" w:rsidP="00000000" w:rsidRDefault="00000000" w:rsidRPr="00000000" w14:paraId="00000004">
      <w:pPr>
        <w:pStyle w:val="Heading1"/>
        <w:rPr/>
      </w:pPr>
      <w:r w:rsidDel="00000000" w:rsidR="00000000" w:rsidRPr="00000000">
        <w:rPr>
          <w:rtl w:val="0"/>
        </w:rPr>
        <w:t xml:space="preserve">1. Data Controller</w:t>
      </w:r>
    </w:p>
    <w:p w:rsidR="00000000" w:rsidDel="00000000" w:rsidP="00000000" w:rsidRDefault="00000000" w:rsidRPr="00000000" w14:paraId="00000005">
      <w:pPr>
        <w:rPr>
          <w:highlight w:val="yellow"/>
        </w:rPr>
      </w:pPr>
      <w:r w:rsidDel="00000000" w:rsidR="00000000" w:rsidRPr="00000000">
        <w:rPr>
          <w:rtl w:val="0"/>
        </w:rPr>
        <w:t xml:space="preserve">Fondazione Horcynus Orca, VAT No. 02636810836, Largo Senatore Francesco Arena, 98164 Messina; e-mail and privacy contact: info@horcynusorca.it</w:t>
      </w:r>
      <w:r w:rsidDel="00000000" w:rsidR="00000000" w:rsidRPr="00000000">
        <w:rPr>
          <w:rtl w:val="0"/>
        </w:rPr>
      </w:r>
    </w:p>
    <w:p w:rsidR="00000000" w:rsidDel="00000000" w:rsidP="00000000" w:rsidRDefault="00000000" w:rsidRPr="00000000" w14:paraId="00000006">
      <w:pPr>
        <w:pStyle w:val="Heading1"/>
        <w:rPr/>
      </w:pPr>
      <w:r w:rsidDel="00000000" w:rsidR="00000000" w:rsidRPr="00000000">
        <w:rPr>
          <w:rtl w:val="0"/>
        </w:rPr>
        <w:t xml:space="preserve">2. Purposes and legal basis</w:t>
      </w:r>
    </w:p>
    <w:p w:rsidR="00000000" w:rsidDel="00000000" w:rsidP="00000000" w:rsidRDefault="00000000" w:rsidRPr="00000000" w14:paraId="00000007">
      <w:pPr>
        <w:rPr/>
      </w:pPr>
      <w:r w:rsidDel="00000000" w:rsidR="00000000" w:rsidRPr="00000000">
        <w:rPr>
          <w:rtl w:val="0"/>
        </w:rPr>
        <w:t xml:space="preserve">Personal data are processed for the purposes of managing the procedure, verifying eligibility requirements and conflicts of interest, evaluating offers, entering into and performing the contract, and complying with tax, accounting, reporting, transparency, control and audit obligations connected with the Programme.</w:t>
      </w:r>
    </w:p>
    <w:p w:rsidR="00000000" w:rsidDel="00000000" w:rsidP="00000000" w:rsidRDefault="00000000" w:rsidRPr="00000000" w14:paraId="00000008">
      <w:pPr>
        <w:rPr/>
      </w:pPr>
      <w:r w:rsidDel="00000000" w:rsidR="00000000" w:rsidRPr="00000000">
        <w:rPr>
          <w:rtl w:val="0"/>
        </w:rPr>
        <w:t xml:space="preserve">The processing is carried out insofar as it is necessary for the conduct of the procedure and the possible performance of the contract, as well as for compliance with legal obligations and obligations connected with the funding and the Programme.</w:t>
      </w:r>
    </w:p>
    <w:p w:rsidR="00000000" w:rsidDel="00000000" w:rsidP="00000000" w:rsidRDefault="00000000" w:rsidRPr="00000000" w14:paraId="00000009">
      <w:pPr>
        <w:pStyle w:val="Heading1"/>
        <w:rPr/>
      </w:pPr>
      <w:r w:rsidDel="00000000" w:rsidR="00000000" w:rsidRPr="00000000">
        <w:rPr>
          <w:rtl w:val="0"/>
        </w:rPr>
        <w:t xml:space="preserve">3. Data processed</w:t>
      </w:r>
    </w:p>
    <w:p w:rsidR="00000000" w:rsidDel="00000000" w:rsidP="00000000" w:rsidRDefault="00000000" w:rsidRPr="00000000" w14:paraId="0000000A">
      <w:pPr>
        <w:spacing w:after="240" w:before="240" w:lineRule="auto"/>
        <w:rPr/>
      </w:pPr>
      <w:r w:rsidDel="00000000" w:rsidR="00000000" w:rsidRPr="00000000">
        <w:rPr>
          <w:rtl w:val="0"/>
        </w:rPr>
        <w:t xml:space="preserve">The data processed may include identification and contact data, professional and CV-related data, corporate, tax and social security information, financial data, declarations concerning eligibility requirements and conflicts of interest, signatures, identity documents and data necessary for controls and audits.</w:t>
      </w:r>
    </w:p>
    <w:p w:rsidR="00000000" w:rsidDel="00000000" w:rsidP="00000000" w:rsidRDefault="00000000" w:rsidRPr="00000000" w14:paraId="0000000B">
      <w:pPr>
        <w:pStyle w:val="Heading1"/>
        <w:rPr/>
      </w:pPr>
      <w:r w:rsidDel="00000000" w:rsidR="00000000" w:rsidRPr="00000000">
        <w:rPr>
          <w:rtl w:val="0"/>
        </w:rPr>
        <w:t xml:space="preserve">4. Provision of data</w:t>
      </w:r>
    </w:p>
    <w:p w:rsidR="00000000" w:rsidDel="00000000" w:rsidP="00000000" w:rsidRDefault="00000000" w:rsidRPr="00000000" w14:paraId="0000000C">
      <w:pPr>
        <w:rPr/>
      </w:pPr>
      <w:r w:rsidDel="00000000" w:rsidR="00000000" w:rsidRPr="00000000">
        <w:rPr>
          <w:rtl w:val="0"/>
        </w:rPr>
        <w:t xml:space="preserve">The provision of personal data is necessary in order to participate in the procedure.</w:t>
      </w:r>
    </w:p>
    <w:p w:rsidR="00000000" w:rsidDel="00000000" w:rsidP="00000000" w:rsidRDefault="00000000" w:rsidRPr="00000000" w14:paraId="0000000D">
      <w:pPr>
        <w:rPr/>
      </w:pPr>
      <w:r w:rsidDel="00000000" w:rsidR="00000000" w:rsidRPr="00000000">
        <w:rPr>
          <w:rtl w:val="0"/>
        </w:rPr>
        <w:t xml:space="preserve">Failure to provide the required data may prevent admission to the procedure, verification of eligibility requirements or contract signature.</w:t>
      </w:r>
    </w:p>
    <w:p w:rsidR="00000000" w:rsidDel="00000000" w:rsidP="00000000" w:rsidRDefault="00000000" w:rsidRPr="00000000" w14:paraId="0000000E">
      <w:pPr>
        <w:pStyle w:val="Heading1"/>
        <w:rPr/>
      </w:pPr>
      <w:r w:rsidDel="00000000" w:rsidR="00000000" w:rsidRPr="00000000">
        <w:rPr>
          <w:rtl w:val="0"/>
        </w:rPr>
        <w:t xml:space="preserve">5. Recipients</w:t>
      </w:r>
    </w:p>
    <w:p w:rsidR="00000000" w:rsidDel="00000000" w:rsidP="00000000" w:rsidRDefault="00000000" w:rsidRPr="00000000" w14:paraId="0000000F">
      <w:pPr>
        <w:rPr/>
      </w:pPr>
      <w:r w:rsidDel="00000000" w:rsidR="00000000" w:rsidRPr="00000000">
        <w:rPr>
          <w:rtl w:val="0"/>
        </w:rPr>
        <w:t xml:space="preserve">Personal data may be disclosed, where necessary and within the scope of their respective responsibilities, to the Evaluation Committee, authorised consultants, CROSS-HERITAGE project partners, the Managing Authority, the Joint Secretariat, controllers, audit authorities, the European Commission, national authorities and other duly authorised entities.</w:t>
      </w:r>
    </w:p>
    <w:p w:rsidR="00000000" w:rsidDel="00000000" w:rsidP="00000000" w:rsidRDefault="00000000" w:rsidRPr="00000000" w14:paraId="00000010">
      <w:pPr>
        <w:rPr/>
      </w:pPr>
      <w:r w:rsidDel="00000000" w:rsidR="00000000" w:rsidRPr="00000000">
        <w:rPr>
          <w:rtl w:val="0"/>
        </w:rPr>
        <w:t xml:space="preserve">Personal data may be published within the limits provided for by transparency requirements and Programme rules.</w:t>
      </w:r>
    </w:p>
    <w:p w:rsidR="00000000" w:rsidDel="00000000" w:rsidP="00000000" w:rsidRDefault="00000000" w:rsidRPr="00000000" w14:paraId="00000011">
      <w:pPr>
        <w:pStyle w:val="Heading1"/>
        <w:rPr/>
      </w:pPr>
      <w:r w:rsidDel="00000000" w:rsidR="00000000" w:rsidRPr="00000000">
        <w:rPr>
          <w:rtl w:val="0"/>
        </w:rPr>
        <w:t xml:space="preserve">6. Processing methods, security and transfers</w:t>
      </w:r>
    </w:p>
    <w:p w:rsidR="00000000" w:rsidDel="00000000" w:rsidP="00000000" w:rsidRDefault="00000000" w:rsidRPr="00000000" w14:paraId="00000012">
      <w:pPr>
        <w:rPr/>
      </w:pPr>
      <w:r w:rsidDel="00000000" w:rsidR="00000000" w:rsidRPr="00000000">
        <w:rPr>
          <w:rtl w:val="0"/>
        </w:rPr>
        <w:t xml:space="preserve">Personal data are processed using paper-based and digital tools, with appropriate security measures.</w:t>
      </w:r>
    </w:p>
    <w:p w:rsidR="00000000" w:rsidDel="00000000" w:rsidP="00000000" w:rsidRDefault="00000000" w:rsidRPr="00000000" w14:paraId="00000013">
      <w:pPr>
        <w:rPr/>
      </w:pPr>
      <w:r w:rsidDel="00000000" w:rsidR="00000000" w:rsidRPr="00000000">
        <w:rPr>
          <w:rtl w:val="0"/>
        </w:rPr>
        <w:t xml:space="preserve">Any transfers outside the European Economic Area shall take place only subject to the safeguards required by the GDPR.</w:t>
      </w:r>
    </w:p>
    <w:p w:rsidR="00000000" w:rsidDel="00000000" w:rsidP="00000000" w:rsidRDefault="00000000" w:rsidRPr="00000000" w14:paraId="00000014">
      <w:pPr>
        <w:pStyle w:val="Heading1"/>
        <w:rPr/>
      </w:pPr>
      <w:r w:rsidDel="00000000" w:rsidR="00000000" w:rsidRPr="00000000">
        <w:rPr>
          <w:rtl w:val="0"/>
        </w:rPr>
        <w:t xml:space="preserve">7. Data retention</w:t>
      </w:r>
    </w:p>
    <w:p w:rsidR="00000000" w:rsidDel="00000000" w:rsidP="00000000" w:rsidRDefault="00000000" w:rsidRPr="00000000" w14:paraId="00000015">
      <w:pPr>
        <w:rPr/>
      </w:pPr>
      <w:r w:rsidDel="00000000" w:rsidR="00000000" w:rsidRPr="00000000">
        <w:rPr>
          <w:rtl w:val="0"/>
        </w:rPr>
        <w:t xml:space="preserve">Personal data shall be retained for the duration of the procedure and the contract and, subsequently, for the period required by civil, tax and accounting rules, Programme requirements and control and audit obligations, as well as for the protection of the Data Controller’s rights.</w:t>
      </w:r>
    </w:p>
    <w:p w:rsidR="00000000" w:rsidDel="00000000" w:rsidP="00000000" w:rsidRDefault="00000000" w:rsidRPr="00000000" w14:paraId="00000016">
      <w:pPr>
        <w:pStyle w:val="Heading1"/>
        <w:rPr/>
      </w:pPr>
      <w:r w:rsidDel="00000000" w:rsidR="00000000" w:rsidRPr="00000000">
        <w:rPr>
          <w:rtl w:val="0"/>
        </w:rPr>
        <w:t xml:space="preserve">8. Data subject rights</w:t>
      </w:r>
    </w:p>
    <w:p w:rsidR="00000000" w:rsidDel="00000000" w:rsidP="00000000" w:rsidRDefault="00000000" w:rsidRPr="00000000" w14:paraId="00000017">
      <w:pPr>
        <w:rPr/>
      </w:pPr>
      <w:r w:rsidDel="00000000" w:rsidR="00000000" w:rsidRPr="00000000">
        <w:rPr>
          <w:rtl w:val="0"/>
        </w:rPr>
        <w:t xml:space="preserve">Data subjects may exercise, where applicable, their rights of access, rectification, erasure, restriction of processing, objection and data portability by contacting the Data Controller.</w:t>
      </w:r>
    </w:p>
    <w:p w:rsidR="00000000" w:rsidDel="00000000" w:rsidP="00000000" w:rsidRDefault="00000000" w:rsidRPr="00000000" w14:paraId="00000018">
      <w:pPr>
        <w:rPr/>
      </w:pPr>
      <w:r w:rsidDel="00000000" w:rsidR="00000000" w:rsidRPr="00000000">
        <w:rPr>
          <w:rtl w:val="0"/>
        </w:rPr>
        <w:t xml:space="preserve">They also have the right to lodge a complaint with the Italian Data Protection Authority (Garante per la protezione dei dati personali).</w:t>
      </w:r>
    </w:p>
    <w:p w:rsidR="00000000" w:rsidDel="00000000" w:rsidP="00000000" w:rsidRDefault="00000000" w:rsidRPr="00000000" w14:paraId="00000019">
      <w:pPr>
        <w:pStyle w:val="Heading1"/>
        <w:rPr/>
      </w:pPr>
      <w:r w:rsidDel="00000000" w:rsidR="00000000" w:rsidRPr="00000000">
        <w:rPr>
          <w:rtl w:val="0"/>
        </w:rPr>
        <w:t xml:space="preserve">9. Decision-making process</w:t>
      </w:r>
    </w:p>
    <w:p w:rsidR="00000000" w:rsidDel="00000000" w:rsidP="00000000" w:rsidRDefault="00000000" w:rsidRPr="00000000" w14:paraId="0000001A">
      <w:pPr>
        <w:rPr/>
      </w:pPr>
      <w:r w:rsidDel="00000000" w:rsidR="00000000" w:rsidRPr="00000000">
        <w:rPr>
          <w:rtl w:val="0"/>
        </w:rPr>
        <w:t xml:space="preserve">No decisions based solely on automated processing are envisaged.</w:t>
      </w:r>
    </w:p>
    <w:p w:rsidR="00000000" w:rsidDel="00000000" w:rsidP="00000000" w:rsidRDefault="00000000" w:rsidRPr="00000000" w14:paraId="0000001B">
      <w:pPr>
        <w:rPr/>
      </w:pPr>
      <w:r w:rsidDel="00000000" w:rsidR="00000000" w:rsidRPr="00000000">
        <w:rPr>
          <w:rtl w:val="0"/>
        </w:rPr>
        <w:t xml:space="preserve">The evaluation shall be carried out by individuals on the basis of the published criteria.</w:t>
      </w:r>
    </w:p>
    <w:p w:rsidR="00000000" w:rsidDel="00000000" w:rsidP="00000000" w:rsidRDefault="00000000" w:rsidRPr="00000000" w14:paraId="0000001C">
      <w:pPr>
        <w:rPr/>
      </w:pPr>
      <w:r w:rsidDel="00000000" w:rsidR="00000000" w:rsidRPr="00000000">
        <w:rPr>
          <w:rtl w:val="0"/>
        </w:rPr>
        <w:t xml:space="preserve">Submission of the application form, which includes a declaration acknowledging receipt of this Privacy Notice, confirms that the data subject has been informed of its contents.</w:t>
      </w:r>
    </w:p>
    <w:p w:rsidR="00000000" w:rsidDel="00000000" w:rsidP="00000000" w:rsidRDefault="00000000" w:rsidRPr="00000000" w14:paraId="0000001D">
      <w:pPr>
        <w:rPr/>
      </w:pPr>
      <w:r w:rsidDel="00000000" w:rsidR="00000000" w:rsidRPr="00000000">
        <w:rPr>
          <w:rtl w:val="0"/>
        </w:rPr>
        <w:t xml:space="preserve">No separate consent is required where the processing is necessary for the procedure or required by applicable law.</w:t>
      </w:r>
    </w:p>
    <w:sectPr>
      <w:headerReference r:id="rId7" w:type="default"/>
      <w:footerReference r:id="rId8" w:type="default"/>
      <w:pgSz w:h="16838" w:w="11906" w:orient="portrait"/>
      <w:pgMar w:bottom="1077" w:top="1191" w:left="1247" w:right="1247"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9071"/>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5d6b78"/>
        <w:sz w:val="16"/>
        <w:szCs w:val="16"/>
        <w:u w:val="none"/>
        <w:shd w:fill="auto" w:val="clear"/>
        <w:vertAlign w:val="baseline"/>
        <w:rtl w:val="0"/>
      </w:rPr>
      <w:t xml:space="preserve">Pag.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F">
    <w:pPr>
      <w:tabs>
        <w:tab w:val="center" w:leader="none" w:pos="4680"/>
        <w:tab w:val="right" w:leader="none" w:pos="9360"/>
      </w:tabs>
      <w:spacing w:after="0" w:line="240" w:lineRule="auto"/>
      <w:rPr/>
    </w:pPr>
    <w:r w:rsidDel="00000000" w:rsidR="00000000" w:rsidRPr="00000000">
      <w:rPr/>
      <w:drawing>
        <wp:inline distB="114300" distT="114300" distL="114300" distR="114300">
          <wp:extent cx="5976310" cy="5715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7631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80" w:lineRule="auto"/>
    </w:pPr>
    <w:rPr>
      <w:rFonts w:ascii="Arial" w:cs="Arial" w:eastAsia="Arial" w:hAnsi="Arial"/>
      <w:b w:val="1"/>
      <w:bCs w:val="1"/>
      <w:color w:val="123b5d"/>
      <w:sz w:val="28"/>
      <w:szCs w:val="28"/>
    </w:rPr>
  </w:style>
  <w:style w:type="paragraph" w:styleId="Heading2">
    <w:name w:val="heading 2"/>
    <w:basedOn w:val="Normal"/>
    <w:next w:val="Normal"/>
    <w:pPr>
      <w:keepNext w:val="1"/>
      <w:keepLines w:val="1"/>
      <w:spacing w:after="100" w:before="220" w:lineRule="auto"/>
    </w:pPr>
    <w:rPr>
      <w:rFonts w:ascii="Arial" w:cs="Arial" w:eastAsia="Arial" w:hAnsi="Arial"/>
      <w:b w:val="1"/>
      <w:bCs w:val="1"/>
      <w:color w:val="0067a5"/>
      <w:sz w:val="24"/>
      <w:szCs w:val="24"/>
    </w:rPr>
  </w:style>
  <w:style w:type="paragraph" w:styleId="Heading3">
    <w:name w:val="heading 3"/>
    <w:basedOn w:val="Normal"/>
    <w:next w:val="Normal"/>
    <w:pPr>
      <w:keepNext w:val="1"/>
      <w:keepLines w:val="1"/>
      <w:spacing w:after="80" w:before="160" w:lineRule="auto"/>
    </w:pPr>
    <w:rPr>
      <w:rFonts w:ascii="Arial" w:cs="Arial" w:eastAsia="Arial" w:hAnsi="Arial"/>
      <w:b w:val="1"/>
      <w:bCs w:val="1"/>
      <w:color w:val="008c95"/>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60" w:line="240" w:lineRule="auto"/>
    </w:pPr>
    <w:rPr>
      <w:rFonts w:ascii="Arial" w:cs="Arial" w:eastAsia="Arial" w:hAnsi="Arial"/>
      <w:b w:val="1"/>
      <w:bCs w:val="1"/>
      <w:color w:val="123b5d"/>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QdEiaRJMJ/h4a9f1z1ORPyhHBw==">CgMxLjA4AHIhMUhKeUJrTEJaYlA0TU9CV3dhSGZrZGZWR3lmR1IwZlU3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